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服务类项目采购需求模板</w:t>
      </w:r>
    </w:p>
    <w:p>
      <w:pPr>
        <w:pStyle w:val="11"/>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（自行采购）</w:t>
      </w:r>
    </w:p>
    <w:p>
      <w:pPr>
        <w:pStyle w:val="11"/>
        <w:numPr>
          <w:ilvl w:val="0"/>
          <w:numId w:val="1"/>
        </w:numPr>
        <w:adjustRightInd w:val="0"/>
        <w:spacing w:before="157" w:beforeLines="50" w:line="480" w:lineRule="exact"/>
        <w:ind w:firstLine="602"/>
        <w:rPr>
          <w:rFonts w:hint="eastAsia" w:ascii="仿宋" w:hAnsi="仿宋" w:eastAsia="仿宋"/>
          <w:b/>
          <w:bCs/>
          <w:color w:val="auto"/>
          <w:sz w:val="30"/>
          <w:szCs w:val="30"/>
          <w:highlight w:val="none"/>
        </w:rPr>
      </w:pPr>
      <w:r>
        <w:rPr>
          <w:rFonts w:hint="eastAsia" w:ascii="仿宋" w:hAnsi="仿宋" w:eastAsia="仿宋"/>
          <w:b/>
          <w:bCs/>
          <w:color w:val="auto"/>
          <w:sz w:val="30"/>
          <w:szCs w:val="30"/>
          <w:highlight w:val="none"/>
        </w:rPr>
        <w:t>采购项目概况</w:t>
      </w:r>
    </w:p>
    <w:p>
      <w:pPr>
        <w:pStyle w:val="11"/>
        <w:numPr>
          <w:ilvl w:val="-1"/>
          <w:numId w:val="0"/>
        </w:numPr>
        <w:adjustRightInd w:val="0"/>
        <w:spacing w:before="157" w:beforeLines="50" w:line="480" w:lineRule="exact"/>
        <w:ind w:firstLine="600"/>
        <w:rPr>
          <w:rFonts w:hint="eastAsia" w:ascii="仿宋" w:hAnsi="仿宋" w:eastAsia="仿宋"/>
          <w:b/>
          <w:bCs/>
          <w:color w:val="auto"/>
          <w:sz w:val="30"/>
          <w:szCs w:val="30"/>
          <w:highlight w:val="none"/>
        </w:rPr>
      </w:pPr>
      <w:r>
        <w:rPr>
          <w:rFonts w:hint="eastAsia" w:ascii="仿宋" w:hAnsi="仿宋" w:eastAsia="仿宋"/>
          <w:color w:val="auto"/>
          <w:sz w:val="30"/>
          <w:szCs w:val="30"/>
          <w:highlight w:val="none"/>
          <w:lang w:val="en-US" w:eastAsia="zh-CN"/>
        </w:rPr>
        <w:t>（一）项目名称：</w:t>
      </w:r>
      <w:r>
        <w:rPr>
          <w:rFonts w:hint="eastAsia" w:ascii="仿宋" w:hAnsi="仿宋" w:eastAsia="仿宋"/>
          <w:color w:val="auto"/>
          <w:sz w:val="30"/>
          <w:szCs w:val="30"/>
          <w:highlight w:val="none"/>
        </w:rPr>
        <w:t>深圳市2025年度永久基本农田占用补划、优化调整与实施（不含深汕特别合作区）</w:t>
      </w:r>
    </w:p>
    <w:p>
      <w:pPr>
        <w:pStyle w:val="11"/>
        <w:adjustRightInd w:val="0"/>
        <w:spacing w:line="480" w:lineRule="exact"/>
        <w:ind w:firstLine="600"/>
        <w:rPr>
          <w:rFonts w:hint="eastAsia"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（二）项目依据和必要性</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深圳市陆域面积狭小，以有限的城市土地空间资源承载了巨大的经济和人口总量。受自然资源禀赋约束和城市建设过程不可避免对农田切割的影响，部分永久基本农田呈现“空间分布零散、地块连片程度低、耕地质量条件差”的特征，不利于保护利用。同时，还存在有一部分优质耕地因得不到最严格的保护，面临着建设占用、农业结构调整转为其他农用地的风险，亟需开展永久基本农田布局优化，对优质耕地优先严格保护，提高耕地集中连片程度，提升耕地保护效率。本项目充分发挥规划统筹引领作用，对现状永久基本农田布局优化调整，统筹严格耕地保护和城市高质量发展，落实耕地数量、质量、生态“三位一体”保护要求，形成一套可复制可推广的永久基本农田布局优化路径、项目实施管理、动态调整机制等制度体系，为推动新时期国土空间规划“三区三线”管控实践，提供深圳经验和做法。</w:t>
      </w:r>
    </w:p>
    <w:p>
      <w:pPr>
        <w:pStyle w:val="11"/>
        <w:adjustRightInd w:val="0"/>
        <w:spacing w:line="480" w:lineRule="exact"/>
        <w:ind w:firstLine="602"/>
        <w:rPr>
          <w:rFonts w:ascii="仿宋" w:hAnsi="仿宋" w:eastAsia="仿宋"/>
          <w:b/>
          <w:bCs/>
          <w:color w:val="auto"/>
          <w:sz w:val="30"/>
          <w:szCs w:val="30"/>
          <w:highlight w:val="none"/>
        </w:rPr>
      </w:pPr>
      <w:r>
        <w:rPr>
          <w:rFonts w:hint="eastAsia" w:ascii="仿宋" w:hAnsi="仿宋" w:eastAsia="仿宋"/>
          <w:b/>
          <w:bCs/>
          <w:color w:val="auto"/>
          <w:sz w:val="30"/>
          <w:szCs w:val="30"/>
          <w:highlight w:val="none"/>
        </w:rPr>
        <w:t>二、项目管理和服务要求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（一）总体要求</w:t>
      </w:r>
    </w:p>
    <w:p>
      <w:pPr>
        <w:pStyle w:val="11"/>
        <w:adjustRightInd w:val="0"/>
        <w:spacing w:line="480" w:lineRule="exact"/>
        <w:ind w:firstLine="60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1.项目开展及成果要严格依照《土地管理法》《土地管理法实施条例》《基本农田保护条例》等法律法规及与耕地保护相关的政策文件要求，符合行业相关的技术规范和标准</w:t>
      </w:r>
      <w:r>
        <w:rPr>
          <w:rFonts w:hint="eastAsia" w:ascii="仿宋" w:hAnsi="仿宋" w:eastAsia="仿宋"/>
          <w:color w:val="auto"/>
          <w:sz w:val="30"/>
          <w:szCs w:val="30"/>
          <w:highlight w:val="none"/>
          <w:lang w:eastAsia="zh-CN"/>
        </w:rPr>
        <w:t>。</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2.</w:t>
      </w:r>
      <w:r>
        <w:rPr>
          <w:rFonts w:hint="eastAsia" w:ascii="仿宋" w:hAnsi="仿宋" w:eastAsia="仿宋"/>
          <w:color w:val="auto"/>
          <w:sz w:val="30"/>
          <w:szCs w:val="30"/>
          <w:highlight w:val="none"/>
          <w:lang w:val="en-US" w:eastAsia="zh-CN"/>
        </w:rPr>
        <w:t>中标方</w:t>
      </w:r>
      <w:r>
        <w:rPr>
          <w:rFonts w:hint="eastAsia" w:ascii="仿宋" w:hAnsi="仿宋" w:eastAsia="仿宋"/>
          <w:color w:val="auto"/>
          <w:sz w:val="30"/>
          <w:szCs w:val="30"/>
          <w:highlight w:val="none"/>
        </w:rPr>
        <w:t>有</w:t>
      </w:r>
      <w:r>
        <w:rPr>
          <w:rFonts w:hint="eastAsia" w:ascii="仿宋" w:hAnsi="仿宋" w:eastAsia="仿宋"/>
          <w:color w:val="auto"/>
          <w:sz w:val="30"/>
          <w:szCs w:val="30"/>
          <w:highlight w:val="none"/>
          <w:lang w:val="en-US" w:eastAsia="zh-CN"/>
        </w:rPr>
        <w:t>3</w:t>
      </w:r>
      <w:r>
        <w:rPr>
          <w:rFonts w:hint="eastAsia" w:ascii="仿宋" w:hAnsi="仿宋" w:eastAsia="仿宋"/>
          <w:color w:val="auto"/>
          <w:sz w:val="30"/>
          <w:szCs w:val="30"/>
          <w:highlight w:val="none"/>
        </w:rPr>
        <w:t>年以上（含</w:t>
      </w:r>
      <w:r>
        <w:rPr>
          <w:rFonts w:hint="eastAsia" w:ascii="仿宋" w:hAnsi="仿宋" w:eastAsia="仿宋"/>
          <w:color w:val="auto"/>
          <w:sz w:val="30"/>
          <w:szCs w:val="30"/>
          <w:highlight w:val="none"/>
          <w:lang w:val="en-US" w:eastAsia="zh-CN"/>
        </w:rPr>
        <w:t>3</w:t>
      </w:r>
      <w:r>
        <w:rPr>
          <w:rFonts w:hint="eastAsia" w:ascii="仿宋" w:hAnsi="仿宋" w:eastAsia="仿宋"/>
          <w:color w:val="auto"/>
          <w:sz w:val="30"/>
          <w:szCs w:val="30"/>
          <w:highlight w:val="none"/>
        </w:rPr>
        <w:t>年）的</w:t>
      </w:r>
      <w:r>
        <w:rPr>
          <w:rFonts w:hint="eastAsia" w:ascii="仿宋" w:hAnsi="仿宋" w:eastAsia="仿宋"/>
          <w:color w:val="auto"/>
          <w:sz w:val="30"/>
          <w:szCs w:val="30"/>
          <w:highlight w:val="none"/>
          <w:lang w:val="en-US" w:eastAsia="zh-CN"/>
        </w:rPr>
        <w:t>规划和</w:t>
      </w:r>
      <w:r>
        <w:rPr>
          <w:rFonts w:hint="eastAsia" w:ascii="仿宋" w:hAnsi="仿宋" w:eastAsia="仿宋"/>
          <w:color w:val="auto"/>
          <w:sz w:val="30"/>
          <w:szCs w:val="30"/>
          <w:highlight w:val="none"/>
        </w:rPr>
        <w:t>国土行业管理经验，了解和熟悉国家、省、市耕地和永久基本农田保护管理、占用与补划、优化调整等政策要求。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 xml:space="preserve">（二）工作内容 </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1.制作永久基本农田优化调整工作底图。具体包括优化调整基础资料收集、现状调研、内业分析评估等工作。</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2.永久基本农田优化调整方案设计与更新。重点包括市级永久基本农田布局优化方案编制和永久基本农田储备区划定，明确调入、调出地块规模、位置等信息。</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3.永久基本农田优化调整成果输出与完善。重点包括优化调整技术文件、优化调整数据库编制及更新、调整地块分布图集等编制。</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4.重大建设项目占用永久基本农田个案调整与补划。主要包括重大建设项目占用永久基本农田调整补划方案编制。</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（三）成果要求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1.项目成果</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深圳市永久基本农田布局优化调整技术报告</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word格式，电子、纸质，数量1</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rPr>
        <w:t>；</w:t>
      </w:r>
    </w:p>
    <w:p>
      <w:pPr>
        <w:pStyle w:val="11"/>
        <w:adjustRightInd w:val="0"/>
        <w:spacing w:line="480" w:lineRule="exact"/>
        <w:ind w:firstLine="600"/>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rPr>
        <w:t>深圳市永久基本农田布局优化调整数据库</w:t>
      </w:r>
      <w:r>
        <w:rPr>
          <w:rFonts w:hint="eastAsia" w:ascii="仿宋" w:hAnsi="仿宋" w:eastAsia="仿宋"/>
          <w:color w:val="auto"/>
          <w:sz w:val="30"/>
          <w:szCs w:val="30"/>
          <w:highlight w:val="none"/>
          <w:lang w:eastAsia="zh-CN"/>
        </w:rPr>
        <w:t>（</w:t>
      </w:r>
      <w:r>
        <w:rPr>
          <w:rFonts w:hint="eastAsia" w:ascii="Times New Roman" w:hAnsi="Times New Roman" w:eastAsia="仿宋_GB2312" w:cs="Times New Roman"/>
          <w:color w:val="auto"/>
          <w:sz w:val="28"/>
          <w:szCs w:val="28"/>
          <w:highlight w:val="none"/>
          <w:lang w:val="en-US" w:eastAsia="zh-CN"/>
        </w:rPr>
        <w:t>数据成果，</w:t>
      </w:r>
      <w:r>
        <w:rPr>
          <w:rFonts w:hint="eastAsia" w:ascii="仿宋" w:hAnsi="仿宋" w:eastAsia="仿宋"/>
          <w:color w:val="auto"/>
          <w:sz w:val="30"/>
          <w:szCs w:val="30"/>
          <w:highlight w:val="none"/>
          <w:lang w:val="en-US" w:eastAsia="zh-CN"/>
        </w:rPr>
        <w:t>mdb格式，</w:t>
      </w:r>
      <w:r>
        <w:rPr>
          <w:rFonts w:hint="eastAsia" w:ascii="Times New Roman" w:hAnsi="Times New Roman" w:eastAsia="仿宋_GB2312" w:cs="Times New Roman"/>
          <w:color w:val="auto"/>
          <w:sz w:val="28"/>
          <w:szCs w:val="28"/>
          <w:highlight w:val="none"/>
          <w:lang w:val="en-US" w:eastAsia="zh-CN"/>
        </w:rPr>
        <w:t>2000国家大地坐标系，</w:t>
      </w:r>
      <w:r>
        <w:rPr>
          <w:rFonts w:hint="eastAsia" w:ascii="仿宋" w:hAnsi="仿宋" w:eastAsia="仿宋"/>
          <w:color w:val="auto"/>
          <w:sz w:val="30"/>
          <w:szCs w:val="30"/>
          <w:highlight w:val="none"/>
          <w:lang w:val="en-US" w:eastAsia="zh-CN"/>
        </w:rPr>
        <w:t>电子，数量1</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w:t>
      </w:r>
    </w:p>
    <w:p>
      <w:pPr>
        <w:pStyle w:val="11"/>
        <w:adjustRightInd w:val="0"/>
        <w:spacing w:line="480" w:lineRule="exact"/>
        <w:ind w:firstLine="600"/>
        <w:rPr>
          <w:rFonts w:hint="default"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（3）数据说明文件（word格式，电子，纸质，数量1）;</w:t>
      </w:r>
    </w:p>
    <w:p>
      <w:pPr>
        <w:pStyle w:val="11"/>
        <w:adjustRightInd w:val="0"/>
        <w:spacing w:line="480" w:lineRule="exact"/>
        <w:ind w:firstLine="600"/>
        <w:rPr>
          <w:rFonts w:hint="default"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（4）</w:t>
      </w:r>
      <w:r>
        <w:rPr>
          <w:rFonts w:hint="eastAsia" w:ascii="仿宋" w:hAnsi="仿宋" w:eastAsia="仿宋"/>
          <w:color w:val="auto"/>
          <w:sz w:val="30"/>
          <w:szCs w:val="30"/>
          <w:highlight w:val="none"/>
        </w:rPr>
        <w:t>深圳市永久基本农田布局优化调整图集</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PDF、JPG格式，电子、纸质，数量1</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2.验收要求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本项目初步成果验收要求为采购方项目负责人签字，最终成果验收要求为采购方</w:t>
      </w:r>
      <w:r>
        <w:rPr>
          <w:rFonts w:hint="eastAsia" w:ascii="仿宋" w:hAnsi="仿宋" w:eastAsia="仿宋"/>
          <w:color w:val="auto"/>
          <w:sz w:val="30"/>
          <w:szCs w:val="30"/>
          <w:highlight w:val="none"/>
          <w:lang w:val="en-US" w:eastAsia="zh-CN"/>
        </w:rPr>
        <w:t>专题</w:t>
      </w:r>
      <w:r>
        <w:rPr>
          <w:rFonts w:hint="eastAsia" w:ascii="仿宋" w:hAnsi="仿宋" w:eastAsia="仿宋"/>
          <w:color w:val="auto"/>
          <w:sz w:val="30"/>
          <w:szCs w:val="30"/>
          <w:highlight w:val="none"/>
        </w:rPr>
        <w:t>会议审议通过。</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3.成果交付形式及数量</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按深圳市规划和自然资源局的具体要求交付，</w:t>
      </w:r>
      <w:r>
        <w:rPr>
          <w:rFonts w:hint="eastAsia" w:ascii="仿宋" w:hAnsi="仿宋" w:eastAsia="仿宋" w:cstheme="minorBidi"/>
          <w:color w:val="auto"/>
          <w:sz w:val="30"/>
          <w:szCs w:val="30"/>
          <w:highlight w:val="none"/>
          <w:lang w:eastAsia="zh-CN"/>
        </w:rPr>
        <w:t>成果应落实数字化交付要求，</w:t>
      </w:r>
      <w:r>
        <w:rPr>
          <w:rFonts w:hint="eastAsia" w:ascii="仿宋" w:hAnsi="仿宋" w:eastAsia="仿宋" w:cstheme="minorBidi"/>
          <w:color w:val="auto"/>
          <w:sz w:val="30"/>
          <w:szCs w:val="30"/>
          <w:highlight w:val="none"/>
          <w:lang w:val="en-US" w:eastAsia="zh-CN"/>
        </w:rPr>
        <w:t>成果</w:t>
      </w:r>
      <w:r>
        <w:rPr>
          <w:rFonts w:hint="eastAsia" w:ascii="仿宋" w:hAnsi="仿宋" w:eastAsia="仿宋"/>
          <w:color w:val="auto"/>
          <w:sz w:val="30"/>
          <w:szCs w:val="30"/>
          <w:highlight w:val="none"/>
        </w:rPr>
        <w:t>包括电子（光盘）成果、纸质成果等各</w:t>
      </w: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套，提交数量应能满足招标人的使用要求。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rPr>
        <w:t>项目按照合同要求的时间节点完成。提交地点为深圳市规划和自然资源局。</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（四）项目质量要求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1.永久基本农田布局优化应符合国土空间规划“三区三线”划定原则。</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2.永久基本农田数据库成果应符合国家《永久基本农田数据库标准（2021版）》。</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3.永久基本农田储备区数据库成果应符合国土空间规划数据汇交有关要求。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（五）人员安排</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独立设置项目组，有固定的项目负责人和联系人。项目组专业技术人员不少于5人。</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rPr>
        <w:t>项目组负责人具备规划和国土行业3年（含3年）以上工作经验，了解和熟悉国家、广东省、深圳市耕地和永久基本农田保护管理政策要求。</w:t>
      </w:r>
    </w:p>
    <w:p>
      <w:pPr>
        <w:pStyle w:val="11"/>
        <w:adjustRightInd w:val="0"/>
        <w:spacing w:line="480" w:lineRule="exact"/>
        <w:ind w:firstLine="602"/>
        <w:rPr>
          <w:rFonts w:ascii="仿宋" w:hAnsi="仿宋" w:eastAsia="仿宋"/>
          <w:b/>
          <w:bCs/>
          <w:color w:val="auto"/>
          <w:sz w:val="30"/>
          <w:szCs w:val="30"/>
          <w:highlight w:val="none"/>
        </w:rPr>
      </w:pPr>
      <w:r>
        <w:rPr>
          <w:rFonts w:hint="eastAsia" w:ascii="仿宋" w:hAnsi="仿宋" w:eastAsia="仿宋"/>
          <w:b/>
          <w:bCs/>
          <w:color w:val="auto"/>
          <w:sz w:val="30"/>
          <w:szCs w:val="30"/>
          <w:highlight w:val="none"/>
        </w:rPr>
        <w:t>三、供应商资格要求</w:t>
      </w:r>
    </w:p>
    <w:p>
      <w:pPr>
        <w:pStyle w:val="11"/>
        <w:adjustRightInd w:val="0"/>
        <w:spacing w:line="480" w:lineRule="exact"/>
        <w:ind w:firstLine="60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（一）具有独立法人资格</w:t>
      </w:r>
      <w:r>
        <w:rPr>
          <w:rFonts w:hint="eastAsia" w:ascii="仿宋" w:hAnsi="仿宋" w:eastAsia="仿宋"/>
          <w:color w:val="auto"/>
          <w:sz w:val="30"/>
          <w:szCs w:val="30"/>
          <w:highlight w:val="none"/>
          <w:lang w:eastAsia="zh-CN"/>
        </w:rPr>
        <w:t>。</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（二）本项目不接受联合体投标，不允许</w:t>
      </w:r>
      <w:r>
        <w:rPr>
          <w:rFonts w:hint="eastAsia" w:ascii="仿宋" w:hAnsi="仿宋" w:eastAsia="仿宋"/>
          <w:color w:val="auto"/>
          <w:sz w:val="30"/>
          <w:szCs w:val="30"/>
          <w:highlight w:val="none"/>
          <w:lang w:val="en-US" w:eastAsia="zh-CN"/>
        </w:rPr>
        <w:t>转包、</w:t>
      </w:r>
      <w:r>
        <w:rPr>
          <w:rFonts w:hint="eastAsia" w:ascii="仿宋" w:hAnsi="仿宋" w:eastAsia="仿宋"/>
          <w:color w:val="auto"/>
          <w:sz w:val="30"/>
          <w:szCs w:val="30"/>
          <w:highlight w:val="none"/>
        </w:rPr>
        <w:t>分包（不接受投标人选用进口产品参与投标）。</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（三）参与本项目投标前三年内，在经营活动中没有重大违法记录（由供应商在《政府采购投标及履约承诺函》中作出声明）。</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（四）参与本项目政府采购活动时不存在被有关部门禁止参与政府采购活动且在有效期内的情况（由供应商在《政府采购投标及履约承诺函》中作出声明）。</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（五）具备《中华人民共和国政府采购法》第二十二条第一款的条件（由供应商在《政府采购投标及履约承诺函》中作出声明）。</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（六）未被列入失信被执行人、重大税收违法案件当事人名单、政府采购严重违法失信行为记录名单（由供应商在《政府采购投标及履约承诺函》中作出声明）。</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注：“信用中国”、“中国政府采购网”、“深圳信用网”以及“深圳市政府采购监管网”为供应商信用信息的查询渠道，相关信息以开标当日的查询结果为准。</w:t>
      </w:r>
    </w:p>
    <w:p>
      <w:pPr>
        <w:pStyle w:val="11"/>
        <w:adjustRightInd w:val="0"/>
        <w:spacing w:line="480" w:lineRule="exact"/>
        <w:ind w:firstLine="602"/>
        <w:rPr>
          <w:rFonts w:ascii="仿宋" w:hAnsi="仿宋" w:eastAsia="仿宋"/>
          <w:b/>
          <w:bCs/>
          <w:color w:val="auto"/>
          <w:sz w:val="30"/>
          <w:szCs w:val="30"/>
          <w:highlight w:val="none"/>
        </w:rPr>
      </w:pPr>
      <w:r>
        <w:rPr>
          <w:rFonts w:hint="eastAsia" w:ascii="仿宋" w:hAnsi="仿宋" w:eastAsia="仿宋"/>
          <w:b/>
          <w:bCs/>
          <w:color w:val="auto"/>
          <w:sz w:val="30"/>
          <w:szCs w:val="30"/>
          <w:highlight w:val="none"/>
        </w:rPr>
        <w:t>四、商务需求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（一）服务期：本项目履行期限为自合同签订之日起12个月内。遇有特殊情况，经</w:t>
      </w:r>
      <w:r>
        <w:rPr>
          <w:rFonts w:hint="eastAsia" w:ascii="仿宋_GB2312" w:hAnsi="仿宋_GB2312" w:eastAsia="仿宋_GB2312" w:cs="仿宋_GB2312"/>
          <w:color w:val="auto"/>
          <w:sz w:val="30"/>
          <w:szCs w:val="30"/>
          <w:highlight w:val="none"/>
          <w:lang w:val="en-US" w:eastAsia="zh-CN"/>
        </w:rPr>
        <w:t>采购方和中标方</w:t>
      </w:r>
      <w:r>
        <w:rPr>
          <w:rFonts w:hint="eastAsia" w:ascii="仿宋" w:hAnsi="仿宋" w:eastAsia="仿宋"/>
          <w:color w:val="auto"/>
          <w:sz w:val="30"/>
          <w:szCs w:val="30"/>
          <w:highlight w:val="none"/>
        </w:rPr>
        <w:t>协商后服务期限可适当延长。</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（二）服务地点：深圳市（不含深汕特别合作区）。</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（三）报价要求：</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1.本项目服务费采用包干制，应包括服务成本、法定税费和企业的利润。由投标供应商根据采购文件所提供的资料自行测算投标报价；一经中标，报价总价作为中标供应商与采购方签定的合同金额，合同期限内不做调整。</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2.投标供应商应当根据本企业的成本自行决定报价，但不得以低于其企业成本的报价投标。</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3.投标供应商的报价不得超过项目预算金额。</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4.投标供应商的报价，应当是本项目采购范围和采购文件及合同条款上所列的各项内容中所述的全部，不得以任何理由予以重复。</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5.除非采购方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6.投标供应商应先到项目地点踏勘以充分了解项目的位置、情况、道路及任何其它足以影响投标报价的情况，任何因忽视或误解项目情况而导致的索赔或服务期限延长申请将不获批准。</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7.投标供应商不得期望通过索赔等方式获取补偿，否则，除可能遭到拒绝外，还可能将被作为不良行为记录在案，并可能影响其以后参加政府采购的项目投标。各投标供应商在报价时，应充分考虑报价的风险。</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（四）付款方式：本项目分三期支付合同款。</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首期款：自双方签订合同之日起20个工作日内，根据中标方提出的付款申请，采购方按照合同要求支付中标方合同总价款的20%；</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二期款：中标方提交深圳市永久基本农田布局优化调整技术报告，经采购方负责处室审查通过后20个工作日内支付，采购方按照合同要求支付中标方合同总价款的40%；</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尾款：中标方提交本项目全部成果，并通过采购方成果验收后20个工作日内，采购方按照合同要求支付中标方合同总价款的40%。</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（五）履约担保金：履约保证金占合同金额0%。</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（六）违约责任：</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采购方的责任</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rPr>
        <w:t>合同签订后，中标方未展开工作前，由于采购方项目停止或其他自身原因而终止合同的，采购方偿付中标方合同总价款的5%；中标方已展开工作的，采购方应按完成的实际工作量支付项目价款，并按合同总价款的5%向中标方支付有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rPr>
        <w:t>采购方无正当理由拒不接受服务、拒付合同价款，中标方有权要求采购方接受服务并支付应付的合同价款。采购方应向中标方支付合同约定的合同总价款的5%作为违约金。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（3）</w:t>
      </w:r>
      <w:r>
        <w:rPr>
          <w:rFonts w:hint="eastAsia" w:ascii="仿宋" w:hAnsi="仿宋" w:eastAsia="仿宋"/>
          <w:color w:val="auto"/>
          <w:sz w:val="30"/>
          <w:szCs w:val="30"/>
          <w:highlight w:val="none"/>
        </w:rPr>
        <w:t>采购方变更委托项目内容、规模、条件，或对所提供资料作较大修改时，应于确定修改之日起7个工作日内告知中标方。因以上原因造成中标方返工，工作量按合同规定的计费标准计算未超过合同总价款的5%时，中标方予以免费返工；工作量按合同规定的计费标准计算超过合同总价款的5%但未超过30%时，采购方应按中标方返工所耗工作量向中标方支付返工费；工作量按合同规定的计费标准计算达到或超过合同总价款的30%时，双方应协商签订补充协议或另行签订合同，重新明确有关条款。</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（4）</w:t>
      </w:r>
      <w:r>
        <w:rPr>
          <w:rFonts w:hint="eastAsia" w:ascii="仿宋" w:hAnsi="仿宋" w:eastAsia="仿宋"/>
          <w:color w:val="auto"/>
          <w:sz w:val="30"/>
          <w:szCs w:val="30"/>
          <w:highlight w:val="none"/>
        </w:rPr>
        <w:t>采购方未按合同约定，延迟或未足额支付合同价款的，中标方有权要求采购方支付该阶段未付合同价款每日0.5‰的逾期违约金，逾期违约金总额不超过合同总价款的10%，且中标方提交成果的时间顺延。逾期超过30个工作日（含30个工作日）以上时，中标方有权暂停履行下阶段工作，并书面通知采购方。因政府内部付款审批原因导致采购方迟延付款的，不视为采购方逾期付款。</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rPr>
        <w:t>中标方的责任</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w:t>
      </w:r>
      <w:r>
        <w:rPr>
          <w:rFonts w:hint="eastAsia" w:ascii="仿宋" w:hAnsi="仿宋" w:eastAsia="仿宋"/>
          <w:color w:val="auto"/>
          <w:sz w:val="30"/>
          <w:szCs w:val="30"/>
          <w:highlight w:val="none"/>
        </w:rPr>
        <w:t>合同签订后，如中标方擅自中途终止或解除合同，中标方向采购方赔偿合同总价款的5%，并归还采购方预付的全部项目款。</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2</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rPr>
        <w:t>未经采购方许可，中标方将合同项目与第三方合作，或将合同标的的全部或部分擅自转包给第三方的，采购方有权要求中标方终止与第三方的合同。中标方应承担因此而产生的相关责任，并应向采购方支付合同总价款的5%的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（3）</w:t>
      </w:r>
      <w:r>
        <w:rPr>
          <w:rFonts w:hint="eastAsia" w:ascii="仿宋" w:hAnsi="仿宋" w:eastAsia="仿宋"/>
          <w:color w:val="auto"/>
          <w:sz w:val="30"/>
          <w:szCs w:val="30"/>
          <w:highlight w:val="none"/>
        </w:rPr>
        <w:t>如中标方因自身原因不能履行合同义务或无法按照合同的约定提供服务，采购方有权终止合同，损失由中标方承担，中标方应向采购方支付合同总价款的5%的违约金，同时要求中标方退回全部已收合同款项。</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（4）</w:t>
      </w:r>
      <w:r>
        <w:rPr>
          <w:rFonts w:hint="eastAsia" w:ascii="仿宋" w:hAnsi="仿宋" w:eastAsia="仿宋"/>
          <w:color w:val="auto"/>
          <w:sz w:val="30"/>
          <w:szCs w:val="30"/>
          <w:highlight w:val="none"/>
        </w:rPr>
        <w:t>中标方无正当理由不按照合同的约定提供服务或者违反规定的义务，采购方有权要求中标方退还部分或者全部已付的合同款项，并应向采购方支付合同总价款的0.5%的违约金。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（5）</w:t>
      </w:r>
      <w:r>
        <w:rPr>
          <w:rFonts w:hint="eastAsia" w:ascii="仿宋" w:hAnsi="仿宋" w:eastAsia="仿宋"/>
          <w:color w:val="auto"/>
          <w:sz w:val="30"/>
          <w:szCs w:val="30"/>
          <w:highlight w:val="none"/>
        </w:rPr>
        <w:t>合同履行期间，中标方因自身原因未能按合同约定的日期(含协商延缓的日期)提交项目成果和造成验收时间延后，检测、验收中的产品更改费由中标方承担。给采购方造成损失的，损害由中标方承担，每逾期一天须支付给采购方合同总价款的0.5‰作为违约金，逾期违约金总额不超过合同总价款的10%。</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（6）</w:t>
      </w:r>
      <w:r>
        <w:rPr>
          <w:rFonts w:hint="eastAsia" w:ascii="仿宋" w:hAnsi="仿宋" w:eastAsia="仿宋"/>
          <w:color w:val="auto"/>
          <w:sz w:val="30"/>
          <w:szCs w:val="30"/>
          <w:highlight w:val="none"/>
        </w:rPr>
        <w:t>由于中标方工作的错误或遗漏造成项目成果验收不合格的，采购方给予中标方一定的宽限期，中标方应在宽限期内无偿予以重新开展工作或采取补救措施，以达到质量要求，且应免收受损失部分的合同价款，并支付合同总价款5%的违约金。如采购方提出异议后中标方不作答复或者无理由推脱的或中标方无法在宽限期内完成整改的，采购方有权终止合同，损失由中标方承担，中标方须退回合同全额费用，并要求中标方支付合同总价款5%的违约金。因项目成果不符合合同要求给采购方造成损失的，中标方应负全部责任。</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（7）</w:t>
      </w:r>
      <w:r>
        <w:rPr>
          <w:rFonts w:hint="eastAsia" w:ascii="仿宋" w:hAnsi="仿宋" w:eastAsia="仿宋"/>
          <w:color w:val="auto"/>
          <w:sz w:val="30"/>
          <w:szCs w:val="30"/>
          <w:highlight w:val="none"/>
        </w:rPr>
        <w:t>中标方未按合同的约定，擅自修改已经提交验收的成果文件的，应承担因此产生的一切后果，并赔偿采购方合同总价款5%的违约金。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（8）</w:t>
      </w:r>
      <w:r>
        <w:rPr>
          <w:rFonts w:hint="eastAsia" w:ascii="仿宋" w:hAnsi="仿宋" w:eastAsia="仿宋"/>
          <w:color w:val="auto"/>
          <w:sz w:val="30"/>
          <w:szCs w:val="30"/>
          <w:highlight w:val="none"/>
        </w:rPr>
        <w:t>中标方组织的项目组成员不符合合同约定的工作内容和技术要求，或未经采购方同意，中标方擅自变更约定的项目组主要成员，采购方有权责成中标方采取补救措施或调整项目组主要成员构成。</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（9）</w:t>
      </w:r>
      <w:r>
        <w:rPr>
          <w:rFonts w:hint="eastAsia" w:ascii="仿宋" w:hAnsi="仿宋" w:eastAsia="仿宋"/>
          <w:color w:val="auto"/>
          <w:sz w:val="30"/>
          <w:szCs w:val="30"/>
          <w:highlight w:val="none"/>
        </w:rPr>
        <w:t>本项目最终成果验收后1年以内，中标方未按采购方要求就本项目提供必要解释和接受咨询的，采购方可要求中标方承担合同总价款5%的违约金，上述违约金可以在支付合同款项时优先予以扣除。</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（10）</w:t>
      </w:r>
      <w:r>
        <w:rPr>
          <w:rFonts w:hint="eastAsia" w:ascii="仿宋" w:hAnsi="仿宋" w:eastAsia="仿宋"/>
          <w:color w:val="auto"/>
          <w:sz w:val="30"/>
          <w:szCs w:val="30"/>
          <w:highlight w:val="none"/>
        </w:rPr>
        <w:t>合同履行期间，中标方承担第三方委托的本项目范围内有利益冲突的其他项目，一经发现，无论合同正在履行或已履行完毕，采购方均有权追究中标方责任，并要求中标方支付合同总价款5%的违约金。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（11）</w:t>
      </w:r>
      <w:r>
        <w:rPr>
          <w:rFonts w:hint="eastAsia" w:ascii="仿宋" w:hAnsi="仿宋" w:eastAsia="仿宋"/>
          <w:color w:val="auto"/>
          <w:sz w:val="30"/>
          <w:szCs w:val="30"/>
          <w:highlight w:val="none"/>
        </w:rPr>
        <w:t>如中标方提交的服务成果侵犯第三方合法权益的，一切法律责任均由中标方承担，同时中标方保证采购方在第三方主张权益时免受损失，并赔偿采购方合同总价款10%的违约金。</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（12）</w:t>
      </w:r>
      <w:r>
        <w:rPr>
          <w:rFonts w:hint="eastAsia" w:ascii="仿宋" w:hAnsi="仿宋" w:eastAsia="仿宋"/>
          <w:color w:val="auto"/>
          <w:sz w:val="30"/>
          <w:szCs w:val="30"/>
          <w:highlight w:val="none"/>
        </w:rPr>
        <w:t>中标方因过错导致采购方蒙受重大经济损失，中标方应当承担赔偿责任。</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（七）其他：特定供应商</w:t>
      </w:r>
    </w:p>
    <w:p>
      <w:pPr>
        <w:pStyle w:val="11"/>
        <w:adjustRightInd w:val="0"/>
        <w:spacing w:line="480" w:lineRule="exact"/>
        <w:ind w:firstLine="600"/>
        <w:rPr>
          <w:rFonts w:ascii="仿宋" w:hAnsi="仿宋" w:eastAsia="仿宋"/>
          <w:color w:val="auto"/>
          <w:sz w:val="30"/>
          <w:szCs w:val="30"/>
          <w:highlight w:val="none"/>
        </w:rPr>
      </w:pPr>
      <w:r>
        <w:rPr>
          <w:rFonts w:hint="eastAsia" w:ascii="仿宋" w:hAnsi="仿宋" w:eastAsia="仿宋"/>
          <w:color w:val="auto"/>
          <w:sz w:val="30"/>
          <w:szCs w:val="30"/>
          <w:highlight w:val="none"/>
        </w:rPr>
        <w:t>单位名称：深圳市规划国土发展研究中心</w:t>
      </w:r>
    </w:p>
    <w:p>
      <w:pPr>
        <w:pStyle w:val="11"/>
        <w:adjustRightInd w:val="0"/>
        <w:spacing w:line="480" w:lineRule="exact"/>
        <w:ind w:firstLine="60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项目经办人：朱</w:t>
      </w:r>
      <w:r>
        <w:rPr>
          <w:rFonts w:hint="eastAsia" w:ascii="仿宋" w:hAnsi="仿宋" w:eastAsia="仿宋"/>
          <w:color w:val="auto"/>
          <w:sz w:val="30"/>
          <w:szCs w:val="30"/>
          <w:highlight w:val="none"/>
          <w:lang w:val="en-US" w:eastAsia="zh-CN"/>
        </w:rPr>
        <w:t>工</w:t>
      </w:r>
      <w:bookmarkStart w:id="0" w:name="_GoBack"/>
      <w:bookmarkEnd w:id="0"/>
    </w:p>
    <w:p>
      <w:pPr>
        <w:pStyle w:val="11"/>
        <w:adjustRightInd w:val="0"/>
        <w:spacing w:line="480" w:lineRule="exact"/>
        <w:ind w:firstLine="600"/>
        <w:rPr>
          <w:color w:val="auto"/>
          <w:highlight w:val="none"/>
        </w:rPr>
      </w:pPr>
      <w:r>
        <w:rPr>
          <w:rFonts w:ascii="仿宋" w:hAnsi="仿宋" w:eastAsia="仿宋"/>
          <w:color w:val="auto"/>
          <w:sz w:val="30"/>
          <w:szCs w:val="30"/>
          <w:highlight w:val="none"/>
        </w:rPr>
        <w:t>联系电话：</w:t>
      </w:r>
      <w:r>
        <w:rPr>
          <w:rFonts w:hint="eastAsia" w:ascii="仿宋" w:hAnsi="仿宋" w:eastAsia="仿宋"/>
          <w:color w:val="auto"/>
          <w:sz w:val="30"/>
          <w:szCs w:val="30"/>
          <w:highlight w:val="none"/>
          <w:lang w:val="en-US" w:eastAsia="zh-CN"/>
        </w:rPr>
        <w:t>0755-83514823</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9E3ECE"/>
    <w:multiLevelType w:val="singleLevel"/>
    <w:tmpl w:val="EC9E3EC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F41"/>
    <w:rsid w:val="00113F41"/>
    <w:rsid w:val="001230E8"/>
    <w:rsid w:val="002747C8"/>
    <w:rsid w:val="00A56BBE"/>
    <w:rsid w:val="029669DB"/>
    <w:rsid w:val="03552A08"/>
    <w:rsid w:val="07706543"/>
    <w:rsid w:val="0776541A"/>
    <w:rsid w:val="0A5A448A"/>
    <w:rsid w:val="0AFF049B"/>
    <w:rsid w:val="0CB81CBE"/>
    <w:rsid w:val="0DE016F7"/>
    <w:rsid w:val="0FEC732E"/>
    <w:rsid w:val="11EC4876"/>
    <w:rsid w:val="148D3430"/>
    <w:rsid w:val="1885099E"/>
    <w:rsid w:val="19AF649D"/>
    <w:rsid w:val="203372AC"/>
    <w:rsid w:val="252A3CC6"/>
    <w:rsid w:val="254B069E"/>
    <w:rsid w:val="25A8217B"/>
    <w:rsid w:val="2AFB1763"/>
    <w:rsid w:val="2F444C18"/>
    <w:rsid w:val="34126A7A"/>
    <w:rsid w:val="36287465"/>
    <w:rsid w:val="3D4D62C9"/>
    <w:rsid w:val="3E9072A5"/>
    <w:rsid w:val="437525BA"/>
    <w:rsid w:val="4A714A31"/>
    <w:rsid w:val="4F4A3B5E"/>
    <w:rsid w:val="4FB7432F"/>
    <w:rsid w:val="549771F6"/>
    <w:rsid w:val="55C313F2"/>
    <w:rsid w:val="59DE4065"/>
    <w:rsid w:val="5A644EDF"/>
    <w:rsid w:val="5ED86940"/>
    <w:rsid w:val="60604E25"/>
    <w:rsid w:val="61FE48F5"/>
    <w:rsid w:val="638B7D8C"/>
    <w:rsid w:val="63AB3AFB"/>
    <w:rsid w:val="65415280"/>
    <w:rsid w:val="674370F9"/>
    <w:rsid w:val="682A0C25"/>
    <w:rsid w:val="6B097A71"/>
    <w:rsid w:val="6E4D44E5"/>
    <w:rsid w:val="70703A03"/>
    <w:rsid w:val="71842D01"/>
    <w:rsid w:val="78A121AE"/>
    <w:rsid w:val="79DE7E7D"/>
    <w:rsid w:val="7AA9084B"/>
    <w:rsid w:val="7F024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spacing w:after="160" w:line="259" w:lineRule="auto"/>
    </w:pPr>
    <w:rPr>
      <w:rFonts w:ascii="等线" w:hAnsi="等线" w:eastAsia="等线" w:cs="Times New Roman"/>
      <w:kern w:val="0"/>
      <w:sz w:val="22"/>
    </w:rPr>
  </w:style>
  <w:style w:type="paragraph" w:styleId="3">
    <w:name w:val="Body Text"/>
    <w:basedOn w:val="1"/>
    <w:next w:val="4"/>
    <w:qFormat/>
    <w:uiPriority w:val="0"/>
    <w:pPr>
      <w:spacing w:before="61"/>
      <w:ind w:left="102"/>
    </w:pPr>
    <w:rPr>
      <w:rFonts w:ascii="宋体" w:hAnsi="宋体" w:eastAsia="宋体"/>
      <w:kern w:val="0"/>
      <w:sz w:val="28"/>
      <w:szCs w:val="28"/>
      <w:lang w:eastAsia="en-US"/>
    </w:rPr>
  </w:style>
  <w:style w:type="paragraph" w:styleId="4">
    <w:name w:val="Title"/>
    <w:basedOn w:val="1"/>
    <w:next w:val="1"/>
    <w:qFormat/>
    <w:uiPriority w:val="0"/>
    <w:pPr>
      <w:spacing w:before="240" w:after="60"/>
      <w:jc w:val="center"/>
      <w:outlineLvl w:val="0"/>
    </w:pPr>
    <w:rPr>
      <w:rFonts w:ascii="Cambria" w:hAnsi="Cambria" w:eastAsia="宋体"/>
      <w:b/>
      <w:bCs/>
    </w:rPr>
  </w:style>
  <w:style w:type="paragraph" w:styleId="5">
    <w:name w:val="Balloon Text"/>
    <w:basedOn w:val="1"/>
    <w:link w:val="14"/>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rPr>
  </w:style>
  <w:style w:type="paragraph" w:styleId="11">
    <w:name w:val="List Paragraph"/>
    <w:basedOn w:val="1"/>
    <w:qFormat/>
    <w:uiPriority w:val="34"/>
    <w:pPr>
      <w:ind w:firstLine="420" w:firstLineChars="200"/>
    </w:pPr>
  </w:style>
  <w:style w:type="character" w:customStyle="1" w:styleId="12">
    <w:name w:val="页眉 字符"/>
    <w:basedOn w:val="10"/>
    <w:link w:val="7"/>
    <w:qFormat/>
    <w:uiPriority w:val="0"/>
    <w:rPr>
      <w:kern w:val="2"/>
      <w:sz w:val="18"/>
      <w:szCs w:val="18"/>
    </w:rPr>
  </w:style>
  <w:style w:type="character" w:customStyle="1" w:styleId="13">
    <w:name w:val="页脚 字符"/>
    <w:basedOn w:val="10"/>
    <w:link w:val="6"/>
    <w:qFormat/>
    <w:uiPriority w:val="0"/>
    <w:rPr>
      <w:kern w:val="2"/>
      <w:sz w:val="18"/>
      <w:szCs w:val="18"/>
    </w:rPr>
  </w:style>
  <w:style w:type="character" w:customStyle="1" w:styleId="14">
    <w:name w:val="批注框文本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4343</Words>
  <Characters>4439</Characters>
  <Lines>31</Lines>
  <Paragraphs>8</Paragraphs>
  <TotalTime>14</TotalTime>
  <ScaleCrop>false</ScaleCrop>
  <LinksUpToDate>false</LinksUpToDate>
  <CharactersWithSpaces>4440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2025-01-23T01:16:00Z</dcterms:created>
  <dc:creator>hongxh</dc:creator>
  <cp:lastModifiedBy>Administrator</cp:lastModifiedBy>
  <dcterms:modified xsi:type="dcterms:W3CDTF">2025-04-30T09:05:41Z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CFCA308605F5428297F7F7D67389C70D_13</vt:lpwstr>
  </property>
  <property fmtid="{D5CDD505-2E9C-101B-9397-08002B2CF9AE}" pid="4" name="KSOTemplateDocerSaveRecord">
    <vt:lpwstr>eyJoZGlkIjoiYmRlMTY5Njk4ZjkyMWQzNWM2ZDUzNjQyZGNlYmQyNTkiLCJ1c2VySWQiOiIyMTIyMDA0NzUifQ==</vt:lpwstr>
  </property>
</Properties>
</file>